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8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ultiperspektivluftbildbefliegung im Frühjahr 2027 in fünf regionalen Teillos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